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325CB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25CBC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اصول</w:t>
            </w:r>
            <w:r w:rsidRPr="00325CBC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25CBC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البحث</w:t>
            </w:r>
            <w:r w:rsidRPr="00325CBC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25CBC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العلمي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325CB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/ </w:t>
            </w: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325CB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2023 ــ 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325CB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6 / 2 / 2024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325CBC" w:rsidP="00325CBC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حضوري / مدمج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325CB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ساعتان  /  وحدتان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</w:t>
            </w:r>
            <w:r w:rsidR="00325CB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 . د جليل وداي حمود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</w:t>
            </w:r>
            <w:r w:rsidR="00325CBC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الايميل</w:t>
            </w:r>
            <w:r w:rsidR="00325CB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:</w:t>
            </w:r>
            <w:r w:rsidR="00325CBC">
              <w:rPr>
                <w:rFonts w:asciiTheme="majorBidi" w:hAnsiTheme="majorBidi" w:cstheme="majorBidi"/>
                <w:b/>
                <w:bCs/>
              </w:rPr>
              <w:t xml:space="preserve">jwhj1963@yahoo.com       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325CBC" w:rsidRPr="00325CBC" w:rsidRDefault="00325CBC" w:rsidP="00325CBC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25CB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1 ــ اعداد الطلبة اعدادا تربويا وعلميا يؤهلهم ليصبحوا باحثين منهجيين .</w:t>
            </w:r>
          </w:p>
          <w:p w:rsidR="00325CBC" w:rsidRPr="00325CBC" w:rsidRDefault="00325CBC" w:rsidP="00325CBC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25CB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2 ــ اكساب الطلبة الاخلاق السامية المتناسبة مع البحث العلمي كالصبر والامانة والمثابرة والاخلاص والدقة العلمية </w:t>
            </w:r>
          </w:p>
          <w:p w:rsidR="00325CBC" w:rsidRPr="00325CBC" w:rsidRDefault="00325CBC" w:rsidP="00325CBC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25CB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3 ــ تزويد الطلبة بالمعارف النظرية المتعلقة بأصول وقواعد البحث العلمي ومناهجه وادواته .</w:t>
            </w:r>
          </w:p>
          <w:p w:rsidR="00325CBC" w:rsidRPr="00325CBC" w:rsidRDefault="00325CBC" w:rsidP="00325CBC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25CB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4 ــ تعليم الطلبة كيفية كتابة البحوث باللغة العلمية ، والتمييز ما بين هذه اللغة واللغة الادبية والصحفية ولغة التداول اليومي في المجتمع .</w:t>
            </w:r>
          </w:p>
          <w:p w:rsidR="00325CBC" w:rsidRPr="00325CBC" w:rsidRDefault="00325CBC" w:rsidP="00325CBC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25CBC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5 ــ تدريب الطلبة على التفكير العلمي المستند الى المنطق والتخلص مما علق في اذهانهم من انماط تفكير تتعارض مع التفكير العلمي كالتفكير الخرافي والتفكير التسلطي وغيرهما .</w:t>
            </w:r>
          </w:p>
          <w:p w:rsidR="000C38C3" w:rsidRPr="00FD135E" w:rsidRDefault="000C38C3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Default="003736CA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ــ طريقة الالقاء ( المحاضرة ) </w:t>
            </w:r>
          </w:p>
          <w:p w:rsidR="003736CA" w:rsidRDefault="003736CA" w:rsidP="003736CA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ــ الحوار </w:t>
            </w:r>
          </w:p>
          <w:p w:rsidR="003736CA" w:rsidRDefault="003736CA" w:rsidP="003736CA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ــ المناقشة </w:t>
            </w:r>
          </w:p>
          <w:p w:rsidR="003736CA" w:rsidRPr="00FD135E" w:rsidRDefault="003736CA" w:rsidP="003736CA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ــ السؤال والجواب 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التعرف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الى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العمليات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التي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يقوم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بها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الدماغ</w:t>
            </w:r>
          </w:p>
        </w:tc>
        <w:tc>
          <w:tcPr>
            <w:tcW w:w="2190" w:type="dxa"/>
          </w:tcPr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العمليات العقلية</w:t>
            </w:r>
          </w:p>
        </w:tc>
        <w:tc>
          <w:tcPr>
            <w:tcW w:w="1350" w:type="dxa"/>
          </w:tcPr>
          <w:p w:rsidR="003B1857" w:rsidRPr="003B1857" w:rsidRDefault="003B1857" w:rsidP="00ED0F6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الالقاء</w:t>
            </w:r>
          </w:p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(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المحاضرة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التغذية</w:t>
            </w:r>
            <w:r w:rsidRPr="003B1857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3B1857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التمييز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بين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انواع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التفكير</w:t>
            </w:r>
          </w:p>
        </w:tc>
        <w:tc>
          <w:tcPr>
            <w:tcW w:w="2190" w:type="dxa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انواع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التفكير</w:t>
            </w:r>
          </w:p>
        </w:tc>
        <w:tc>
          <w:tcPr>
            <w:tcW w:w="1350" w:type="dxa"/>
          </w:tcPr>
          <w:p w:rsidR="00582C43" w:rsidRPr="00582C43" w:rsidRDefault="00582C43" w:rsidP="00ED0F6A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الالقاء</w:t>
            </w:r>
          </w:p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(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المحاضرة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التغذية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التعرف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الى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معنى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التفكير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العلمي</w:t>
            </w:r>
          </w:p>
        </w:tc>
        <w:tc>
          <w:tcPr>
            <w:tcW w:w="2190" w:type="dxa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التفكير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العلمي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وخصائصه</w:t>
            </w:r>
          </w:p>
        </w:tc>
        <w:tc>
          <w:tcPr>
            <w:tcW w:w="1350" w:type="dxa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1E3BD8" w:rsidRPr="00FD135E" w:rsidRDefault="00582C43" w:rsidP="00ED0F6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التغذية</w:t>
            </w:r>
            <w:r w:rsidRPr="00582C43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التعرف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الى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معنى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وأهميته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للمجتمع</w:t>
            </w:r>
          </w:p>
        </w:tc>
        <w:tc>
          <w:tcPr>
            <w:tcW w:w="2190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وأهميته</w:t>
            </w:r>
          </w:p>
        </w:tc>
        <w:tc>
          <w:tcPr>
            <w:tcW w:w="1350" w:type="dxa"/>
          </w:tcPr>
          <w:p w:rsidR="00582C43" w:rsidRPr="00582C43" w:rsidRDefault="00582C43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تشكيل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نظرة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عامة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لخطوات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</w:t>
            </w:r>
          </w:p>
        </w:tc>
        <w:tc>
          <w:tcPr>
            <w:tcW w:w="2190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هيكلية البحث العلمي</w:t>
            </w:r>
          </w:p>
        </w:tc>
        <w:tc>
          <w:tcPr>
            <w:tcW w:w="1350" w:type="dxa"/>
          </w:tcPr>
          <w:p w:rsidR="00582C43" w:rsidRPr="00582C43" w:rsidRDefault="00582C43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</w:p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بوينت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التعرف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الى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كيفية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اختيار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المشكلة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والمصادر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التي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يستقي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منها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تلك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المشكلة</w:t>
            </w:r>
          </w:p>
        </w:tc>
        <w:tc>
          <w:tcPr>
            <w:tcW w:w="2190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تحديد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مشكلة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ومعايير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اختيارها</w:t>
            </w:r>
          </w:p>
        </w:tc>
        <w:tc>
          <w:tcPr>
            <w:tcW w:w="1350" w:type="dxa"/>
          </w:tcPr>
          <w:p w:rsidR="00582C43" w:rsidRPr="00582C43" w:rsidRDefault="00582C43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بيان فوائد القراءات الاستطلاعية</w:t>
            </w:r>
          </w:p>
        </w:tc>
        <w:tc>
          <w:tcPr>
            <w:tcW w:w="2190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القراءات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الاستطلاعية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وأهميتها</w:t>
            </w:r>
          </w:p>
        </w:tc>
        <w:tc>
          <w:tcPr>
            <w:tcW w:w="1350" w:type="dxa"/>
          </w:tcPr>
          <w:p w:rsidR="00582C43" w:rsidRPr="00582C43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82C4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</w:t>
            </w:r>
          </w:p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582C4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582C4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582C43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582C43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582C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</w:t>
            </w:r>
            <w:r w:rsidR="00ED0F6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ختبار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التحصيلي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الأول</w:t>
            </w:r>
            <w:r w:rsidR="00ED0F6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/ الفصل الأول</w:t>
            </w:r>
          </w:p>
        </w:tc>
        <w:tc>
          <w:tcPr>
            <w:tcW w:w="135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</w:t>
            </w:r>
          </w:p>
        </w:tc>
        <w:tc>
          <w:tcPr>
            <w:tcW w:w="1386" w:type="dxa"/>
          </w:tcPr>
          <w:p w:rsidR="001E3BD8" w:rsidRPr="00FD135E" w:rsidRDefault="00ED0F6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تحصيلي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تعليم الطلبة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كيفية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صياغة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المشكلة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وتساؤلاتها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لغويا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صياغة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مشكلة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وتساؤلاتها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وأهداف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</w:p>
        </w:tc>
        <w:tc>
          <w:tcPr>
            <w:tcW w:w="1350" w:type="dxa"/>
          </w:tcPr>
          <w:p w:rsidR="003C281A" w:rsidRPr="003C281A" w:rsidRDefault="003C281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ادراك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معنى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الفرض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وشروط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صياغته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لغويا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مفهوم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الفروض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وشروط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صياغتها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ومصادرها</w:t>
            </w:r>
          </w:p>
        </w:tc>
        <w:tc>
          <w:tcPr>
            <w:tcW w:w="1350" w:type="dxa"/>
          </w:tcPr>
          <w:p w:rsidR="003C281A" w:rsidRPr="003C281A" w:rsidRDefault="003C281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الى أنواع الفروض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أنواع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الفروض</w:t>
            </w:r>
          </w:p>
        </w:tc>
        <w:tc>
          <w:tcPr>
            <w:tcW w:w="1350" w:type="dxa"/>
          </w:tcPr>
          <w:p w:rsidR="003C281A" w:rsidRPr="003C281A" w:rsidRDefault="003C281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الى أنواع البحوث في المجالات الانسانية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أنواع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البحوث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وتصنيفاتها</w:t>
            </w:r>
          </w:p>
        </w:tc>
        <w:tc>
          <w:tcPr>
            <w:tcW w:w="1350" w:type="dxa"/>
          </w:tcPr>
          <w:p w:rsidR="003C281A" w:rsidRPr="003C281A" w:rsidRDefault="003C281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فهم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معنى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المنهج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لغة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واصطلاحا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وأنواعه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مفهوم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المنهج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وتصنيفاته</w:t>
            </w:r>
          </w:p>
        </w:tc>
        <w:tc>
          <w:tcPr>
            <w:tcW w:w="135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فهم خطوات المنهج الوصفي</w:t>
            </w:r>
          </w:p>
        </w:tc>
        <w:tc>
          <w:tcPr>
            <w:tcW w:w="2190" w:type="dxa"/>
          </w:tcPr>
          <w:p w:rsidR="001E3BD8" w:rsidRPr="00FD135E" w:rsidRDefault="003C281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تعريف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المنهج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الوصفي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وخصائصه</w:t>
            </w:r>
            <w:r w:rsidRPr="003C281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3C281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ومراحله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ــــ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</w:t>
            </w:r>
            <w:r w:rsidR="00ED0F6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ختبار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التحصيلي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الثاني</w:t>
            </w:r>
            <w:r w:rsidR="00ED0F6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/ الفصل الأول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ـــــ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تحصيلي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فهم اجراءات اسلوب تحليل المضمون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اسلوب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تحليل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المضمون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الى تجسيد مفاهيم تحليل المضمون عمليا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التطبيق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العملي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للتحليل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المضمون</w:t>
            </w:r>
          </w:p>
        </w:tc>
        <w:tc>
          <w:tcPr>
            <w:tcW w:w="1350" w:type="dxa"/>
          </w:tcPr>
          <w:p w:rsidR="008111EA" w:rsidRPr="008111EA" w:rsidRDefault="008111E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فهم اجراءات المنهج التجريبي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المنهج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التجريبي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فهم اجراءات منهج المسح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منهج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المسح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الى معنى مجتمع البحث وعينة البحث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مفهوم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مجتمع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وعينته</w:t>
            </w:r>
          </w:p>
        </w:tc>
        <w:tc>
          <w:tcPr>
            <w:tcW w:w="1350" w:type="dxa"/>
          </w:tcPr>
          <w:p w:rsidR="008111EA" w:rsidRPr="008111EA" w:rsidRDefault="008111E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الى مفهوم الاحتمال  في اختيار العينات الاحتمالية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العينات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الاحتمالية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الى ؟أنواع العيناتغير الاحتمالية</w:t>
            </w:r>
          </w:p>
        </w:tc>
        <w:tc>
          <w:tcPr>
            <w:tcW w:w="219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العينات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غير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الاحتمالية</w:t>
            </w:r>
          </w:p>
        </w:tc>
        <w:tc>
          <w:tcPr>
            <w:tcW w:w="1350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8111E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8111E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8111E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</w:t>
            </w:r>
          </w:p>
        </w:tc>
        <w:tc>
          <w:tcPr>
            <w:tcW w:w="2190" w:type="dxa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</w:t>
            </w:r>
            <w:r w:rsidR="00ED0F6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ختبار</w:t>
            </w: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التحصيلي</w:t>
            </w: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الأول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/ الفصل الثاني</w:t>
            </w:r>
          </w:p>
        </w:tc>
        <w:tc>
          <w:tcPr>
            <w:tcW w:w="1350" w:type="dxa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</w:t>
            </w:r>
          </w:p>
        </w:tc>
        <w:tc>
          <w:tcPr>
            <w:tcW w:w="1386" w:type="dxa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تحصيلي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تعريف الطلبة بأنواع أ؟دوات جمع البيانات</w:t>
            </w:r>
          </w:p>
        </w:tc>
        <w:tc>
          <w:tcPr>
            <w:tcW w:w="2190" w:type="dxa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أدوات</w:t>
            </w: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</w:t>
            </w:r>
          </w:p>
        </w:tc>
        <w:tc>
          <w:tcPr>
            <w:tcW w:w="1350" w:type="dxa"/>
          </w:tcPr>
          <w:p w:rsidR="00467A3A" w:rsidRPr="00467A3A" w:rsidRDefault="00467A3A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467A3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467A3A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467A3A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تعليم الطلبة تصميم الاستبيان وأنواعه وأسئلته وبدائلها</w:t>
            </w:r>
          </w:p>
        </w:tc>
        <w:tc>
          <w:tcPr>
            <w:tcW w:w="219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الاستبيان</w:t>
            </w:r>
          </w:p>
        </w:tc>
        <w:tc>
          <w:tcPr>
            <w:tcW w:w="135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تعريف الطلبة بطبيعة المقابلة والملاحظة العلمية</w:t>
            </w:r>
          </w:p>
        </w:tc>
        <w:tc>
          <w:tcPr>
            <w:tcW w:w="219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المقابلة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والملاحظة</w:t>
            </w:r>
          </w:p>
        </w:tc>
        <w:tc>
          <w:tcPr>
            <w:tcW w:w="1350" w:type="dxa"/>
          </w:tcPr>
          <w:p w:rsidR="00E52AAC" w:rsidRPr="00E52AAC" w:rsidRDefault="00E52AAC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التمييز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بين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البيانات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والمعلومات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وأهميتها وصعوبات جمعها</w:t>
            </w:r>
          </w:p>
        </w:tc>
        <w:tc>
          <w:tcPr>
            <w:tcW w:w="219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البيانات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والمعلومات</w:t>
            </w:r>
          </w:p>
        </w:tc>
        <w:tc>
          <w:tcPr>
            <w:tcW w:w="1350" w:type="dxa"/>
          </w:tcPr>
          <w:p w:rsidR="00E52AAC" w:rsidRPr="00E52AAC" w:rsidRDefault="00E52AAC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تعليم الطلبة كيفية توثيق الهوامش والمصادر</w:t>
            </w:r>
          </w:p>
        </w:tc>
        <w:tc>
          <w:tcPr>
            <w:tcW w:w="219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تدوين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الهوامش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والمصادر</w:t>
            </w:r>
          </w:p>
        </w:tc>
        <w:tc>
          <w:tcPr>
            <w:tcW w:w="135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الحاسوب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( 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بوربوينت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التعريف بأخلاقيات البحث العلمي</w:t>
            </w:r>
          </w:p>
        </w:tc>
        <w:tc>
          <w:tcPr>
            <w:tcW w:w="219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أخلاقيات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البحث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العلمي</w:t>
            </w:r>
          </w:p>
        </w:tc>
        <w:tc>
          <w:tcPr>
            <w:tcW w:w="1350" w:type="dxa"/>
          </w:tcPr>
          <w:p w:rsidR="00E52AAC" w:rsidRPr="00E52AAC" w:rsidRDefault="00E52AAC" w:rsidP="00ED0F6A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الالقاء</w:t>
            </w:r>
          </w:p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(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المحاضرة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)</w:t>
            </w:r>
          </w:p>
        </w:tc>
        <w:tc>
          <w:tcPr>
            <w:tcW w:w="1386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التغذية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الراجعة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3B1857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ــــ</w:t>
            </w:r>
          </w:p>
        </w:tc>
        <w:tc>
          <w:tcPr>
            <w:tcW w:w="219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الاختبار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التحصيلي</w:t>
            </w:r>
            <w:r w:rsidRPr="00E52AAC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E52AAC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الثاني</w:t>
            </w:r>
            <w:r w:rsidR="00ED0F6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/ الفصل الثاني</w:t>
            </w:r>
          </w:p>
        </w:tc>
        <w:tc>
          <w:tcPr>
            <w:tcW w:w="1350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ـــ</w:t>
            </w:r>
          </w:p>
        </w:tc>
        <w:tc>
          <w:tcPr>
            <w:tcW w:w="1386" w:type="dxa"/>
          </w:tcPr>
          <w:p w:rsidR="001E3BD8" w:rsidRPr="00FD135E" w:rsidRDefault="00E52AAC" w:rsidP="00ED0F6A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تحصيلي</w:t>
            </w: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FD135E">
        <w:tc>
          <w:tcPr>
            <w:tcW w:w="9576" w:type="dxa"/>
            <w:gridSpan w:val="9"/>
            <w:vAlign w:val="center"/>
          </w:tcPr>
          <w:p w:rsidR="003B1857" w:rsidRDefault="003B185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:rsidR="00775D8A" w:rsidRDefault="00775D8A" w:rsidP="003B185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  <w:r w:rsidR="003736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  <w:p w:rsidR="003B1857" w:rsidRDefault="003B1857" w:rsidP="003B185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ــ يكون توزيع على النحو الآتي </w:t>
            </w:r>
          </w:p>
          <w:tbl>
            <w:tblPr>
              <w:tblStyle w:val="a3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1557"/>
              <w:gridCol w:w="1557"/>
              <w:gridCol w:w="1558"/>
              <w:gridCol w:w="1558"/>
              <w:gridCol w:w="1558"/>
            </w:tblGrid>
            <w:tr w:rsidR="003B1857" w:rsidTr="003B1857">
              <w:tc>
                <w:tcPr>
                  <w:tcW w:w="1557" w:type="dxa"/>
                  <w:vMerge w:val="restart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تقديرات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الفصل</w:t>
                  </w:r>
                </w:p>
              </w:tc>
              <w:tc>
                <w:tcPr>
                  <w:tcW w:w="1557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الفصل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الدراسي</w:t>
                  </w:r>
                </w:p>
              </w:tc>
              <w:tc>
                <w:tcPr>
                  <w:tcW w:w="1557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الامتحان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الشهري</w:t>
                  </w:r>
                </w:p>
              </w:tc>
              <w:tc>
                <w:tcPr>
                  <w:tcW w:w="1558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تقديم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تقرير</w:t>
                  </w:r>
                </w:p>
              </w:tc>
              <w:tc>
                <w:tcPr>
                  <w:tcW w:w="1558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الحضور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والمشاركة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اليومية</w:t>
                  </w:r>
                </w:p>
              </w:tc>
              <w:tc>
                <w:tcPr>
                  <w:tcW w:w="1558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الامتحان</w:t>
                  </w:r>
                  <w:r w:rsidRPr="003B1857">
                    <w:rPr>
                      <w:rFonts w:asciiTheme="majorBidi" w:hAnsi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  <w:t xml:space="preserve"> </w:t>
                  </w:r>
                  <w:r w:rsidRPr="003B1857">
                    <w:rPr>
                      <w:rFonts w:asciiTheme="majorBidi" w:hAnsi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النهائي</w:t>
                  </w:r>
                </w:p>
              </w:tc>
            </w:tr>
            <w:tr w:rsidR="003B1857" w:rsidTr="003B1857">
              <w:tc>
                <w:tcPr>
                  <w:tcW w:w="1557" w:type="dxa"/>
                  <w:vMerge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</w:p>
              </w:tc>
              <w:tc>
                <w:tcPr>
                  <w:tcW w:w="1557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50</w:t>
                  </w:r>
                </w:p>
              </w:tc>
              <w:tc>
                <w:tcPr>
                  <w:tcW w:w="1557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16</w:t>
                  </w:r>
                </w:p>
              </w:tc>
              <w:tc>
                <w:tcPr>
                  <w:tcW w:w="1558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558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1558" w:type="dxa"/>
                </w:tcPr>
                <w:p w:rsidR="003B1857" w:rsidRDefault="003B1857" w:rsidP="003B1857">
                  <w:pPr>
                    <w:pStyle w:val="a4"/>
                    <w:bidi/>
                    <w:spacing w:before="0" w:beforeAutospacing="0" w:afterAutospacing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2"/>
                      <w:szCs w:val="22"/>
                      <w:rtl/>
                      <w:lang w:bidi="ar-IQ"/>
                    </w:rPr>
                    <w:t>50</w:t>
                  </w:r>
                </w:p>
              </w:tc>
            </w:tr>
          </w:tbl>
          <w:p w:rsidR="003736CA" w:rsidRPr="00FD135E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12. مصادر التعليم والتدريس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3736CA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لاتوجد 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1ــ محمد سعيد ابو طالب ، علم مناهج البحث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2 ــ </w:t>
            </w:r>
            <w:r w:rsidRPr="003736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موفق الحمداني وآخرون ، مناهج البحث العلمي : اساسيات البحث العلمي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3 ــ جمال زكي والسيد يسين ، اسس البحث الاجتماعي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 ــ</w:t>
            </w:r>
            <w:r w:rsidRPr="003736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وليد عبد الحميد نوري وعبد المجيد حمزة الناصر ، العينات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5 ــ محمود حسن المشهداني ، اصول الاحصاء والطرق الاحصائية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6 ــ محمد عبد الحميد ، تحليل المضمون </w:t>
            </w:r>
            <w:r w:rsidRPr="003736CA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7 ــ سالم محمد عبود ، الاتجاهات الحديثة في اصول البحث العلمي </w:t>
            </w:r>
          </w:p>
          <w:p w:rsidR="003736CA" w:rsidRPr="003736CA" w:rsidRDefault="003736CA" w:rsidP="003736C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736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8 ــ عمر نصر الله ، أساسيات مناهج البحث العلمي وتطبيقاتها </w:t>
            </w:r>
          </w:p>
          <w:p w:rsidR="00FD135E" w:rsidRPr="00FD135E" w:rsidRDefault="00FD135E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3B185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                / 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3B185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             / 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97C0F"/>
    <w:rsid w:val="000C38C3"/>
    <w:rsid w:val="001C0E54"/>
    <w:rsid w:val="001E3BD8"/>
    <w:rsid w:val="00325CBC"/>
    <w:rsid w:val="003736CA"/>
    <w:rsid w:val="003B0645"/>
    <w:rsid w:val="003B1857"/>
    <w:rsid w:val="003C281A"/>
    <w:rsid w:val="00467A3A"/>
    <w:rsid w:val="00582C43"/>
    <w:rsid w:val="00775D8A"/>
    <w:rsid w:val="008111EA"/>
    <w:rsid w:val="0097216B"/>
    <w:rsid w:val="00984072"/>
    <w:rsid w:val="00E52AAC"/>
    <w:rsid w:val="00E94EFF"/>
    <w:rsid w:val="00ED0F6A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</cp:revision>
  <dcterms:created xsi:type="dcterms:W3CDTF">2024-02-18T05:31:00Z</dcterms:created>
  <dcterms:modified xsi:type="dcterms:W3CDTF">2024-02-18T05:31:00Z</dcterms:modified>
</cp:coreProperties>
</file>